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99B3" w14:textId="77777777" w:rsidR="00C11F8D" w:rsidRPr="00C11F8D" w:rsidRDefault="00C11F8D" w:rsidP="00C11F8D">
      <w:pPr>
        <w:jc w:val="left"/>
        <w:rPr>
          <w:b/>
          <w:highlight w:val="yellow"/>
        </w:rPr>
      </w:pPr>
      <w:r w:rsidRPr="00C11F8D">
        <w:rPr>
          <w:b/>
          <w:highlight w:val="yellow"/>
        </w:rPr>
        <w:t xml:space="preserve">Consignes : </w:t>
      </w:r>
    </w:p>
    <w:p w14:paraId="49F64119" w14:textId="709CA2C2" w:rsidR="00C11F8D" w:rsidRDefault="00C11F8D" w:rsidP="00C11F8D">
      <w:pPr>
        <w:jc w:val="left"/>
        <w:rPr>
          <w:highlight w:val="yellow"/>
        </w:rPr>
      </w:pPr>
      <w:r>
        <w:rPr>
          <w:highlight w:val="yellow"/>
        </w:rPr>
        <w:t xml:space="preserve">Il convient de compléter les parties en jaune ci-dessous : </w:t>
      </w:r>
    </w:p>
    <w:p w14:paraId="4CE77963" w14:textId="77777777" w:rsidR="00B07035" w:rsidRDefault="00B07035" w:rsidP="00C11F8D">
      <w:pPr>
        <w:jc w:val="left"/>
        <w:rPr>
          <w:highlight w:val="yellow"/>
        </w:rPr>
      </w:pPr>
      <w:r>
        <w:rPr>
          <w:highlight w:val="yellow"/>
        </w:rPr>
        <w:t>- votre nom et prénom</w:t>
      </w:r>
    </w:p>
    <w:p w14:paraId="5630BB75" w14:textId="112ED67F" w:rsidR="00C11F8D" w:rsidRDefault="00C11F8D" w:rsidP="00C11F8D">
      <w:pPr>
        <w:jc w:val="left"/>
        <w:rPr>
          <w:highlight w:val="yellow"/>
        </w:rPr>
      </w:pPr>
      <w:r>
        <w:rPr>
          <w:highlight w:val="yellow"/>
        </w:rPr>
        <w:t xml:space="preserve">- </w:t>
      </w:r>
      <w:r w:rsidRPr="00A429B5">
        <w:rPr>
          <w:highlight w:val="yellow"/>
        </w:rPr>
        <w:t>le numéro de l’arrêté</w:t>
      </w:r>
      <w:r>
        <w:rPr>
          <w:highlight w:val="yellow"/>
        </w:rPr>
        <w:t> ;</w:t>
      </w:r>
    </w:p>
    <w:p w14:paraId="3ADBEADE" w14:textId="77777777" w:rsidR="00C11F8D" w:rsidRDefault="00C11F8D" w:rsidP="00C11F8D">
      <w:pPr>
        <w:jc w:val="left"/>
        <w:rPr>
          <w:highlight w:val="yellow"/>
        </w:rPr>
      </w:pPr>
      <w:r>
        <w:rPr>
          <w:highlight w:val="yellow"/>
        </w:rPr>
        <w:t xml:space="preserve">- la date de l’arrêté ; </w:t>
      </w:r>
    </w:p>
    <w:p w14:paraId="2C7E01F3" w14:textId="77777777" w:rsidR="00B07035" w:rsidRDefault="00C11F8D" w:rsidP="00C11F8D">
      <w:pPr>
        <w:jc w:val="left"/>
        <w:rPr>
          <w:highlight w:val="yellow"/>
        </w:rPr>
      </w:pPr>
      <w:r>
        <w:rPr>
          <w:highlight w:val="yellow"/>
        </w:rPr>
        <w:t>- la date de l’audience</w:t>
      </w:r>
    </w:p>
    <w:p w14:paraId="3A8B0ABD" w14:textId="0029B6C6" w:rsidR="00C11F8D" w:rsidRDefault="00B07035" w:rsidP="00C11F8D">
      <w:pPr>
        <w:jc w:val="left"/>
        <w:rPr>
          <w:highlight w:val="yellow"/>
        </w:rPr>
      </w:pPr>
      <w:r>
        <w:rPr>
          <w:highlight w:val="yellow"/>
        </w:rPr>
        <w:t xml:space="preserve">- le numéro attribué </w:t>
      </w:r>
      <w:r>
        <w:rPr>
          <w:i/>
          <w:iCs/>
          <w:highlight w:val="yellow"/>
        </w:rPr>
        <w:t>(si vous ne trouvez pas, ce n’est pas grave)</w:t>
      </w:r>
      <w:r w:rsidR="00C11F8D">
        <w:rPr>
          <w:highlight w:val="yellow"/>
        </w:rPr>
        <w:t>.</w:t>
      </w:r>
    </w:p>
    <w:p w14:paraId="71713B0E" w14:textId="140DE567" w:rsidR="003A592E" w:rsidRDefault="003A592E" w:rsidP="00C11F8D">
      <w:pPr>
        <w:jc w:val="left"/>
        <w:rPr>
          <w:highlight w:val="yellow"/>
        </w:rPr>
      </w:pPr>
      <w:r>
        <w:rPr>
          <w:highlight w:val="yellow"/>
        </w:rPr>
        <w:t xml:space="preserve">Supprimez ensuite cette introduction. </w:t>
      </w:r>
    </w:p>
    <w:p w14:paraId="37F82DF8" w14:textId="76CFD624" w:rsidR="003A592E" w:rsidRDefault="003A592E" w:rsidP="00C11F8D">
      <w:pPr>
        <w:jc w:val="left"/>
        <w:rPr>
          <w:highlight w:val="yellow"/>
        </w:rPr>
      </w:pPr>
      <w:r>
        <w:rPr>
          <w:highlight w:val="yellow"/>
        </w:rPr>
        <w:t>Le document ainsi complété est à imprimer en trois</w:t>
      </w:r>
      <w:r w:rsidR="00C11F8D" w:rsidRPr="00A429B5">
        <w:rPr>
          <w:highlight w:val="yellow"/>
        </w:rPr>
        <w:t xml:space="preserve"> exemplaires</w:t>
      </w:r>
      <w:r>
        <w:rPr>
          <w:highlight w:val="yellow"/>
        </w:rPr>
        <w:t xml:space="preserve"> que vous </w:t>
      </w:r>
      <w:r w:rsidRPr="00B07035">
        <w:rPr>
          <w:b/>
          <w:bCs/>
          <w:highlight w:val="yellow"/>
        </w:rPr>
        <w:t>signez</w:t>
      </w:r>
      <w:r w:rsidR="00C11F8D" w:rsidRPr="00A429B5">
        <w:rPr>
          <w:highlight w:val="yellow"/>
        </w:rPr>
        <w:t xml:space="preserve"> et </w:t>
      </w:r>
      <w:r>
        <w:rPr>
          <w:highlight w:val="yellow"/>
        </w:rPr>
        <w:t xml:space="preserve">que </w:t>
      </w:r>
      <w:r w:rsidR="00C11F8D" w:rsidRPr="00A429B5">
        <w:rPr>
          <w:highlight w:val="yellow"/>
        </w:rPr>
        <w:t xml:space="preserve">vous remettez dès votre arrivée au tribunal </w:t>
      </w:r>
      <w:r w:rsidR="00C11F8D" w:rsidRPr="00B07035">
        <w:rPr>
          <w:b/>
          <w:bCs/>
          <w:highlight w:val="yellow"/>
        </w:rPr>
        <w:t>au début du procès</w:t>
      </w:r>
      <w:r w:rsidR="00C11F8D" w:rsidRPr="00A429B5">
        <w:rPr>
          <w:highlight w:val="yellow"/>
        </w:rPr>
        <w:t xml:space="preserve">, un exemplaire au juge du tribunal de police et </w:t>
      </w:r>
      <w:r w:rsidR="00B07035">
        <w:rPr>
          <w:highlight w:val="yellow"/>
        </w:rPr>
        <w:t xml:space="preserve">un autre </w:t>
      </w:r>
      <w:r w:rsidR="00C11F8D" w:rsidRPr="00A429B5">
        <w:rPr>
          <w:highlight w:val="yellow"/>
        </w:rPr>
        <w:t xml:space="preserve">à </w:t>
      </w:r>
      <w:r>
        <w:rPr>
          <w:highlight w:val="yellow"/>
        </w:rPr>
        <w:t>l’officier du ministère public.</w:t>
      </w:r>
    </w:p>
    <w:p w14:paraId="6A5C876B" w14:textId="742B0A36" w:rsidR="00C11F8D" w:rsidRDefault="00C11F8D" w:rsidP="00C11F8D">
      <w:pPr>
        <w:jc w:val="left"/>
      </w:pPr>
      <w:r w:rsidRPr="00A429B5">
        <w:rPr>
          <w:highlight w:val="yellow"/>
        </w:rPr>
        <w:t>Vous faites tamponner par le greffe votre 3</w:t>
      </w:r>
      <w:r w:rsidRPr="00A429B5">
        <w:rPr>
          <w:highlight w:val="yellow"/>
          <w:vertAlign w:val="superscript"/>
        </w:rPr>
        <w:t>e</w:t>
      </w:r>
      <w:r w:rsidRPr="00A429B5">
        <w:rPr>
          <w:highlight w:val="yellow"/>
        </w:rPr>
        <w:t xml:space="preserve"> exempl</w:t>
      </w:r>
      <w:r w:rsidR="003A592E">
        <w:rPr>
          <w:highlight w:val="yellow"/>
        </w:rPr>
        <w:t>aire qui vous servira de preuve, c</w:t>
      </w:r>
      <w:r w:rsidRPr="00A429B5">
        <w:rPr>
          <w:highlight w:val="yellow"/>
        </w:rPr>
        <w:t>ar il faut déposer ces conclusions au début de l’audience ou au moins au tout début de l’appel de votre nom.</w:t>
      </w:r>
    </w:p>
    <w:p w14:paraId="3A9D56CB" w14:textId="272FE4B8" w:rsidR="00B857C1" w:rsidRDefault="00B857C1" w:rsidP="00C11F8D">
      <w:pPr>
        <w:jc w:val="left"/>
      </w:pPr>
      <w:r w:rsidRPr="00B857C1">
        <w:rPr>
          <w:highlight w:val="yellow"/>
        </w:rPr>
        <w:t xml:space="preserve">Ensuite, vous développerez par oral les moyens écrits sur l’un des modèles de contestation de l’amende forfaitaire, que vous choisissez en fonction du cas de figure. </w:t>
      </w:r>
      <w:r>
        <w:rPr>
          <w:highlight w:val="yellow"/>
        </w:rPr>
        <w:t>Lisez</w:t>
      </w:r>
      <w:r w:rsidRPr="00B857C1">
        <w:rPr>
          <w:highlight w:val="yellow"/>
        </w:rPr>
        <w:t xml:space="preserve"> les </w:t>
      </w:r>
      <w:r>
        <w:rPr>
          <w:highlight w:val="yellow"/>
        </w:rPr>
        <w:t>conseils</w:t>
      </w:r>
      <w:r w:rsidRPr="00B857C1">
        <w:rPr>
          <w:highlight w:val="yellow"/>
        </w:rPr>
        <w:t xml:space="preserve"> de chaque modèle.</w:t>
      </w:r>
    </w:p>
    <w:p w14:paraId="6C5D2A33" w14:textId="77777777" w:rsidR="00C11F8D" w:rsidRDefault="00C11F8D" w:rsidP="00C11F8D">
      <w:pPr>
        <w:jc w:val="right"/>
        <w:rPr>
          <w:rFonts w:cs="Arial"/>
          <w:i/>
          <w:iCs/>
          <w:szCs w:val="24"/>
        </w:rPr>
      </w:pPr>
    </w:p>
    <w:p w14:paraId="3114F48D" w14:textId="77777777" w:rsidR="00C11F8D" w:rsidRDefault="00C11F8D" w:rsidP="00C11F8D">
      <w:pPr>
        <w:jc w:val="right"/>
        <w:rPr>
          <w:rFonts w:cs="Arial"/>
          <w:i/>
          <w:iCs/>
          <w:szCs w:val="24"/>
        </w:rPr>
      </w:pPr>
    </w:p>
    <w:p w14:paraId="0F271BA7" w14:textId="77777777" w:rsidR="00C11F8D" w:rsidRDefault="00C11F8D" w:rsidP="00C11F8D">
      <w:pPr>
        <w:jc w:val="right"/>
        <w:rPr>
          <w:rFonts w:cs="Arial"/>
          <w:i/>
          <w:iCs/>
          <w:szCs w:val="24"/>
        </w:rPr>
      </w:pPr>
    </w:p>
    <w:p w14:paraId="73F16561" w14:textId="0BF69E64" w:rsidR="00A429B5" w:rsidRPr="00A429B5" w:rsidRDefault="00A429B5" w:rsidP="00C11F8D">
      <w:pPr>
        <w:jc w:val="right"/>
        <w:rPr>
          <w:rFonts w:cs="Arial"/>
          <w:i/>
          <w:iCs/>
          <w:szCs w:val="24"/>
        </w:rPr>
      </w:pPr>
      <w:r w:rsidRPr="00A429B5">
        <w:rPr>
          <w:rFonts w:cs="Arial"/>
          <w:i/>
          <w:iCs/>
          <w:szCs w:val="24"/>
        </w:rPr>
        <w:t>Audience du</w:t>
      </w:r>
      <w:r w:rsidR="00C11F8D">
        <w:rPr>
          <w:rFonts w:cs="Arial"/>
          <w:i/>
          <w:iCs/>
          <w:szCs w:val="24"/>
        </w:rPr>
        <w:t xml:space="preserve"> </w:t>
      </w:r>
      <w:r w:rsidR="00C11F8D" w:rsidRPr="00C11F8D">
        <w:rPr>
          <w:rFonts w:cs="Arial"/>
          <w:i/>
          <w:iCs/>
          <w:szCs w:val="24"/>
          <w:highlight w:val="yellow"/>
        </w:rPr>
        <w:t>[date à compléter]</w:t>
      </w:r>
    </w:p>
    <w:p w14:paraId="53385173" w14:textId="0063138B" w:rsidR="00D92D04" w:rsidRPr="00D92D04" w:rsidRDefault="00D92D04" w:rsidP="00C11F8D">
      <w:pPr>
        <w:jc w:val="center"/>
        <w:rPr>
          <w:rFonts w:cs="Arial"/>
          <w:b/>
          <w:bCs/>
          <w:szCs w:val="24"/>
          <w:u w:val="single"/>
        </w:rPr>
      </w:pPr>
      <w:r>
        <w:rPr>
          <w:rFonts w:cs="Arial"/>
          <w:b/>
          <w:bCs/>
          <w:szCs w:val="24"/>
          <w:u w:val="single"/>
        </w:rPr>
        <w:t xml:space="preserve">Conclusions </w:t>
      </w:r>
      <w:r>
        <w:rPr>
          <w:rFonts w:cs="Arial"/>
          <w:b/>
          <w:bCs/>
          <w:i/>
          <w:iCs/>
          <w:szCs w:val="24"/>
          <w:u w:val="single"/>
        </w:rPr>
        <w:t xml:space="preserve">in limine litis </w:t>
      </w:r>
      <w:r>
        <w:rPr>
          <w:rFonts w:cs="Arial"/>
          <w:b/>
          <w:bCs/>
          <w:szCs w:val="24"/>
          <w:u w:val="single"/>
        </w:rPr>
        <w:t>d’exception d’illégalité</w:t>
      </w:r>
    </w:p>
    <w:p w14:paraId="45FB3BA8" w14:textId="41889E55" w:rsidR="00D92D04" w:rsidRPr="00B07035" w:rsidRDefault="00B07035" w:rsidP="00C11F8D">
      <w:pPr>
        <w:jc w:val="left"/>
        <w:rPr>
          <w:rFonts w:cs="Arial"/>
          <w:b/>
          <w:bCs/>
          <w:i/>
          <w:iCs/>
          <w:szCs w:val="24"/>
          <w:u w:val="single"/>
        </w:rPr>
      </w:pPr>
      <w:r>
        <w:rPr>
          <w:rFonts w:cs="Arial"/>
          <w:b/>
          <w:bCs/>
          <w:szCs w:val="24"/>
          <w:u w:val="single"/>
        </w:rPr>
        <w:t xml:space="preserve">Pour </w:t>
      </w:r>
      <w:r w:rsidRPr="00B07035">
        <w:rPr>
          <w:rFonts w:cs="Arial"/>
          <w:b/>
          <w:bCs/>
          <w:i/>
          <w:iCs/>
          <w:szCs w:val="24"/>
          <w:highlight w:val="yellow"/>
          <w:u w:val="single"/>
        </w:rPr>
        <w:t>[à compléter : nom et prénom]</w:t>
      </w:r>
    </w:p>
    <w:p w14:paraId="61F3BDCE" w14:textId="77777777" w:rsidR="00D92D04" w:rsidRPr="000B75CF" w:rsidRDefault="00D92D04" w:rsidP="00C11F8D">
      <w:pPr>
        <w:jc w:val="left"/>
        <w:rPr>
          <w:rFonts w:cs="Arial"/>
          <w:szCs w:val="24"/>
        </w:rPr>
      </w:pPr>
      <w:r w:rsidRPr="000B75CF">
        <w:rPr>
          <w:rFonts w:cs="Arial"/>
          <w:szCs w:val="24"/>
        </w:rPr>
        <w:t xml:space="preserve">Il résulte de l’article 111-5 du code pénal que les juridictions pénales sont compétentes pour interpréter les actes administratifs, réglementaires ou individuels et pour en apprécier la légalité lorsque, de cet examen, dépend la solution du procès pénal qui leur est soumis. </w:t>
      </w:r>
    </w:p>
    <w:p w14:paraId="775FD70A" w14:textId="5633EB53" w:rsidR="00D92D04" w:rsidRPr="000B75CF" w:rsidRDefault="00D92D04" w:rsidP="00C11F8D">
      <w:pPr>
        <w:jc w:val="left"/>
        <w:rPr>
          <w:rFonts w:cs="Arial"/>
          <w:b/>
          <w:bCs/>
          <w:szCs w:val="24"/>
          <w:u w:val="single"/>
        </w:rPr>
      </w:pPr>
      <w:r>
        <w:rPr>
          <w:rFonts w:cs="Arial"/>
          <w:b/>
          <w:bCs/>
          <w:szCs w:val="24"/>
          <w:u w:val="single"/>
        </w:rPr>
        <w:t>L</w:t>
      </w:r>
      <w:r w:rsidRPr="000B75CF">
        <w:rPr>
          <w:rFonts w:cs="Arial"/>
          <w:b/>
          <w:bCs/>
          <w:szCs w:val="24"/>
          <w:u w:val="single"/>
        </w:rPr>
        <w:t xml:space="preserve">’arrêté </w:t>
      </w:r>
      <w:r w:rsidRPr="00C11F8D">
        <w:rPr>
          <w:rFonts w:cs="Arial"/>
          <w:b/>
          <w:bCs/>
          <w:szCs w:val="24"/>
          <w:u w:val="single"/>
        </w:rPr>
        <w:t>n°</w:t>
      </w:r>
      <w:r w:rsidR="00C11F8D" w:rsidRPr="00C11F8D">
        <w:rPr>
          <w:rFonts w:cs="Arial"/>
          <w:b/>
          <w:bCs/>
          <w:szCs w:val="24"/>
          <w:highlight w:val="yellow"/>
          <w:u w:val="single"/>
        </w:rPr>
        <w:t>[</w:t>
      </w:r>
      <w:r w:rsidR="00C11F8D">
        <w:rPr>
          <w:rFonts w:cs="Arial"/>
          <w:b/>
          <w:bCs/>
          <w:szCs w:val="24"/>
          <w:highlight w:val="yellow"/>
          <w:u w:val="single"/>
        </w:rPr>
        <w:t>n°</w:t>
      </w:r>
      <w:r w:rsidR="00C11F8D" w:rsidRPr="00C11F8D">
        <w:rPr>
          <w:rFonts w:cs="Arial"/>
          <w:b/>
          <w:bCs/>
          <w:szCs w:val="24"/>
          <w:highlight w:val="yellow"/>
          <w:u w:val="single"/>
        </w:rPr>
        <w:t>à compléter]</w:t>
      </w:r>
      <w:r w:rsidR="00C11F8D">
        <w:rPr>
          <w:rFonts w:cs="Arial"/>
          <w:b/>
          <w:bCs/>
          <w:szCs w:val="24"/>
          <w:u w:val="single"/>
        </w:rPr>
        <w:t xml:space="preserve"> du </w:t>
      </w:r>
      <w:r w:rsidR="00C11F8D" w:rsidRPr="00C11F8D">
        <w:rPr>
          <w:rFonts w:cs="Arial"/>
          <w:b/>
          <w:bCs/>
          <w:szCs w:val="24"/>
          <w:highlight w:val="yellow"/>
          <w:u w:val="single"/>
        </w:rPr>
        <w:t>[date à compléter]</w:t>
      </w:r>
      <w:r>
        <w:rPr>
          <w:rFonts w:cs="Arial"/>
          <w:b/>
          <w:bCs/>
          <w:szCs w:val="24"/>
          <w:u w:val="single"/>
        </w:rPr>
        <w:t xml:space="preserve"> </w:t>
      </w:r>
      <w:r w:rsidRPr="000B75CF">
        <w:rPr>
          <w:rFonts w:cs="Arial"/>
          <w:b/>
          <w:bCs/>
          <w:szCs w:val="24"/>
          <w:u w:val="single"/>
        </w:rPr>
        <w:t xml:space="preserve">est illégal et ne </w:t>
      </w:r>
      <w:r w:rsidRPr="00D92D04">
        <w:rPr>
          <w:rFonts w:cs="Arial"/>
          <w:b/>
          <w:bCs/>
          <w:szCs w:val="24"/>
          <w:u w:val="single"/>
        </w:rPr>
        <w:t>peut</w:t>
      </w:r>
      <w:r w:rsidRPr="000B75CF">
        <w:rPr>
          <w:rFonts w:cs="Arial"/>
          <w:b/>
          <w:bCs/>
          <w:szCs w:val="24"/>
          <w:u w:val="single"/>
        </w:rPr>
        <w:t xml:space="preserve"> donc pas être appliqué. </w:t>
      </w:r>
    </w:p>
    <w:p w14:paraId="780FBA79" w14:textId="77777777" w:rsidR="00D92D04" w:rsidRPr="00B07035" w:rsidRDefault="00D92D04" w:rsidP="00C11F8D">
      <w:pPr>
        <w:jc w:val="left"/>
        <w:rPr>
          <w:rFonts w:cs="Arial"/>
          <w:iCs/>
          <w:szCs w:val="24"/>
        </w:rPr>
      </w:pPr>
      <w:r w:rsidRPr="000B75CF">
        <w:rPr>
          <w:rFonts w:cs="Arial"/>
          <w:szCs w:val="24"/>
        </w:rPr>
        <w:t xml:space="preserve">Le Conseil d’Etat a rappelé que la liberté d’expression, de communication et celle de manifestation dont découle le droit d’expression collective des idées et des opinions est d’autant plus précieuse que son exercice est une condition de la démocratie et l’une des garanties du respect des autres droits et libertés </w:t>
      </w:r>
      <w:r w:rsidRPr="00B07035">
        <w:rPr>
          <w:rFonts w:cs="Arial"/>
          <w:iCs/>
          <w:szCs w:val="24"/>
        </w:rPr>
        <w:t xml:space="preserve">(CE 10 juin 2021, Syndicat national des journalistes, n° 444849, au Recueil). </w:t>
      </w:r>
    </w:p>
    <w:p w14:paraId="0E71B00B" w14:textId="77777777" w:rsidR="00D92D04" w:rsidRPr="00C11F8D" w:rsidRDefault="00D92D04" w:rsidP="00C11F8D">
      <w:pPr>
        <w:jc w:val="left"/>
        <w:rPr>
          <w:rFonts w:cs="Arial"/>
          <w:iCs/>
          <w:szCs w:val="24"/>
        </w:rPr>
      </w:pPr>
      <w:r w:rsidRPr="000B75CF">
        <w:rPr>
          <w:rFonts w:cs="Arial"/>
          <w:szCs w:val="24"/>
        </w:rPr>
        <w:t xml:space="preserve">En droit, pour l’ensemble de ces libertés fondamentales, </w:t>
      </w:r>
      <w:r w:rsidRPr="00C11F8D">
        <w:rPr>
          <w:rFonts w:cs="Arial"/>
          <w:iCs/>
          <w:szCs w:val="24"/>
        </w:rPr>
        <w:t>«</w:t>
      </w:r>
      <w:r w:rsidRPr="00954D48">
        <w:rPr>
          <w:rFonts w:cs="Arial"/>
          <w:i/>
          <w:iCs/>
          <w:szCs w:val="24"/>
        </w:rPr>
        <w:t xml:space="preserve"> les atteintes portées, pour des exigences d’ordre public, à [leur] exercice [...] doivent être nécessaires, adaptées et proportionnées </w:t>
      </w:r>
      <w:r w:rsidRPr="00C11F8D">
        <w:rPr>
          <w:rFonts w:cs="Arial"/>
          <w:iCs/>
          <w:szCs w:val="24"/>
        </w:rPr>
        <w:t>» (CE Ass. 26 octobre 2011, Association pour la promotion de l’image, n° 317827, au Recueil ; CE, Ord. Ref., 6 février 2015, Cne de Cournon d’Auvergne, n° 387726).</w:t>
      </w:r>
    </w:p>
    <w:p w14:paraId="3A7B41AE" w14:textId="778BB555" w:rsidR="00D92D04" w:rsidRPr="00C11F8D" w:rsidRDefault="00D92D04" w:rsidP="00C11F8D">
      <w:pPr>
        <w:jc w:val="left"/>
        <w:rPr>
          <w:rFonts w:eastAsia="Times New Roman" w:cs="Arial"/>
          <w:iCs/>
          <w:szCs w:val="24"/>
          <w:lang w:eastAsia="fr-FR"/>
        </w:rPr>
      </w:pPr>
      <w:r w:rsidRPr="000B75CF">
        <w:rPr>
          <w:rFonts w:cs="Arial"/>
          <w:szCs w:val="24"/>
        </w:rPr>
        <w:lastRenderedPageBreak/>
        <w:t xml:space="preserve">La restriction au droit de manifester, même </w:t>
      </w:r>
      <w:r w:rsidRPr="000B75CF">
        <w:rPr>
          <w:rFonts w:eastAsia="Times New Roman" w:cs="Arial"/>
          <w:szCs w:val="24"/>
          <w:lang w:eastAsia="fr-FR"/>
        </w:rPr>
        <w:t xml:space="preserve">justifiée par une question de sécurité publique </w:t>
      </w:r>
      <w:r w:rsidRPr="00C11F8D">
        <w:rPr>
          <w:rFonts w:eastAsia="Times New Roman" w:cs="Arial"/>
          <w:iCs/>
          <w:szCs w:val="24"/>
          <w:lang w:eastAsia="fr-FR"/>
        </w:rPr>
        <w:t>(CEDH, 16</w:t>
      </w:r>
      <w:r w:rsidR="00C11F8D" w:rsidRPr="00C11F8D">
        <w:rPr>
          <w:rFonts w:eastAsia="Times New Roman" w:cs="Arial"/>
          <w:iCs/>
          <w:szCs w:val="24"/>
          <w:lang w:eastAsia="fr-FR"/>
        </w:rPr>
        <w:t xml:space="preserve"> juillet 1980, Chrétiens contre </w:t>
      </w:r>
      <w:r w:rsidRPr="00C11F8D">
        <w:rPr>
          <w:rFonts w:eastAsia="Times New Roman" w:cs="Arial"/>
          <w:iCs/>
          <w:szCs w:val="24"/>
          <w:lang w:eastAsia="fr-FR"/>
        </w:rPr>
        <w:t>le racisme et le fascisme c. Royaume-Uni, n° 8440/78)</w:t>
      </w:r>
      <w:r w:rsidRPr="00C11F8D">
        <w:rPr>
          <w:rFonts w:eastAsia="Times New Roman" w:cs="Arial"/>
          <w:szCs w:val="24"/>
          <w:lang w:eastAsia="fr-FR"/>
        </w:rPr>
        <w:t xml:space="preserve"> </w:t>
      </w:r>
      <w:r w:rsidRPr="000B75CF">
        <w:rPr>
          <w:rFonts w:cs="Arial"/>
          <w:szCs w:val="24"/>
        </w:rPr>
        <w:t>ne doit pas avoir pour objet de dissuader les participants à des</w:t>
      </w:r>
      <w:r w:rsidRPr="000B75CF">
        <w:rPr>
          <w:rFonts w:eastAsia="Times New Roman" w:cs="Arial"/>
          <w:szCs w:val="24"/>
          <w:lang w:eastAsia="fr-FR"/>
        </w:rPr>
        <w:t xml:space="preserve"> </w:t>
      </w:r>
      <w:r w:rsidRPr="000B75CF">
        <w:rPr>
          <w:rFonts w:cs="Arial"/>
          <w:szCs w:val="24"/>
        </w:rPr>
        <w:t>manifestations ou à des réunions par la suite, et</w:t>
      </w:r>
      <w:r w:rsidR="00C11F8D">
        <w:rPr>
          <w:rFonts w:cs="Arial"/>
          <w:szCs w:val="24"/>
        </w:rPr>
        <w:t>,</w:t>
      </w:r>
      <w:r w:rsidRPr="000B75CF">
        <w:rPr>
          <w:rFonts w:cs="Arial"/>
          <w:szCs w:val="24"/>
        </w:rPr>
        <w:t xml:space="preserve"> à cet égard, l’interdiction de</w:t>
      </w:r>
      <w:r w:rsidRPr="000B75CF">
        <w:rPr>
          <w:rFonts w:eastAsia="Times New Roman" w:cs="Arial"/>
          <w:szCs w:val="24"/>
          <w:lang w:eastAsia="fr-FR"/>
        </w:rPr>
        <w:t xml:space="preserve"> </w:t>
      </w:r>
      <w:r w:rsidRPr="000B75CF">
        <w:rPr>
          <w:rFonts w:cs="Arial"/>
          <w:szCs w:val="24"/>
        </w:rPr>
        <w:t>manifester est susceptible de porter une atteinte à la liberté de réunion qui n’est</w:t>
      </w:r>
      <w:r w:rsidRPr="000B75CF">
        <w:rPr>
          <w:rFonts w:eastAsia="Times New Roman" w:cs="Arial"/>
          <w:szCs w:val="24"/>
          <w:lang w:eastAsia="fr-FR"/>
        </w:rPr>
        <w:t xml:space="preserve"> </w:t>
      </w:r>
      <w:r w:rsidRPr="000B75CF">
        <w:rPr>
          <w:rFonts w:cs="Arial"/>
          <w:szCs w:val="24"/>
        </w:rPr>
        <w:t>pas proportionnée lorsqu’elle est assortie du recours à la force pour assurer la</w:t>
      </w:r>
      <w:r w:rsidRPr="000B75CF">
        <w:rPr>
          <w:rFonts w:eastAsia="Times New Roman" w:cs="Arial"/>
          <w:szCs w:val="24"/>
          <w:lang w:eastAsia="fr-FR"/>
        </w:rPr>
        <w:t xml:space="preserve"> </w:t>
      </w:r>
      <w:r w:rsidRPr="000B75CF">
        <w:rPr>
          <w:rFonts w:cs="Arial"/>
          <w:szCs w:val="24"/>
        </w:rPr>
        <w:t xml:space="preserve">dispersion </w:t>
      </w:r>
      <w:r w:rsidRPr="00C11F8D">
        <w:rPr>
          <w:rFonts w:cs="Arial"/>
          <w:iCs/>
          <w:szCs w:val="24"/>
        </w:rPr>
        <w:t>(CEDH, 29 novembre 2007, Balçık et autres c. Turquie, n° 25/02,</w:t>
      </w:r>
      <w:r w:rsidRPr="00C11F8D">
        <w:rPr>
          <w:rFonts w:cs="Arial"/>
          <w:szCs w:val="24"/>
        </w:rPr>
        <w:t xml:space="preserve"> </w:t>
      </w:r>
      <w:r w:rsidRPr="00C11F8D">
        <w:rPr>
          <w:rFonts w:cs="Arial"/>
          <w:iCs/>
          <w:szCs w:val="24"/>
        </w:rPr>
        <w:t>§41),</w:t>
      </w:r>
      <w:r w:rsidRPr="00C11F8D">
        <w:rPr>
          <w:rFonts w:cs="Arial"/>
          <w:szCs w:val="24"/>
        </w:rPr>
        <w:t xml:space="preserve"> de l’arrestation de manifestants qui n’ont commis aucun acte de violence </w:t>
      </w:r>
      <w:r w:rsidRPr="00C11F8D">
        <w:rPr>
          <w:rFonts w:cs="Arial"/>
          <w:iCs/>
          <w:szCs w:val="24"/>
        </w:rPr>
        <w:t>(CEDH, 10 novembre 2020, Navalnyy et Gunko c. Russie, n° 78186/12, § 88),</w:t>
      </w:r>
      <w:r w:rsidRPr="00C11F8D">
        <w:rPr>
          <w:rFonts w:eastAsia="Times New Roman" w:cs="Arial"/>
          <w:szCs w:val="24"/>
          <w:lang w:eastAsia="fr-FR"/>
        </w:rPr>
        <w:t xml:space="preserve"> </w:t>
      </w:r>
      <w:r w:rsidRPr="00C11F8D">
        <w:rPr>
          <w:rFonts w:cs="Arial"/>
          <w:szCs w:val="24"/>
        </w:rPr>
        <w:t>ou d’une amende même d’un montant symbolique de 3 euros (</w:t>
      </w:r>
      <w:r w:rsidRPr="00C11F8D">
        <w:rPr>
          <w:rFonts w:cs="Arial"/>
          <w:iCs/>
          <w:szCs w:val="24"/>
        </w:rPr>
        <w:t xml:space="preserve">CEDH, </w:t>
      </w:r>
      <w:r w:rsidRPr="00C11F8D">
        <w:rPr>
          <w:rFonts w:eastAsia="Times New Roman" w:cs="Arial"/>
          <w:iCs/>
          <w:szCs w:val="24"/>
          <w:lang w:eastAsia="fr-FR"/>
        </w:rPr>
        <w:t>6</w:t>
      </w:r>
      <w:r w:rsidRPr="00C11F8D">
        <w:rPr>
          <w:rFonts w:eastAsia="Times New Roman" w:cs="Arial"/>
          <w:iCs/>
          <w:szCs w:val="24"/>
          <w:lang w:eastAsia="fr-FR"/>
        </w:rPr>
        <w:br/>
        <w:t>Ziliberberg c. Moldova ; CEDH, 10 novembre 2020, Navalnyy et Gunko c.</w:t>
      </w:r>
      <w:r w:rsidRPr="00C11F8D">
        <w:rPr>
          <w:rFonts w:eastAsia="Times New Roman" w:cs="Arial"/>
          <w:iCs/>
          <w:szCs w:val="24"/>
          <w:lang w:eastAsia="fr-FR"/>
        </w:rPr>
        <w:br/>
        <w:t>Russie, n° 78186/12, § 133).</w:t>
      </w:r>
    </w:p>
    <w:p w14:paraId="25938615" w14:textId="77777777" w:rsidR="00D92D04" w:rsidRPr="000B75CF" w:rsidRDefault="00D92D04" w:rsidP="00C11F8D">
      <w:pPr>
        <w:jc w:val="left"/>
        <w:rPr>
          <w:rFonts w:eastAsia="Times New Roman" w:cs="Arial"/>
          <w:szCs w:val="24"/>
          <w:lang w:eastAsia="fr-FR"/>
        </w:rPr>
      </w:pPr>
      <w:r w:rsidRPr="000B75CF">
        <w:rPr>
          <w:rFonts w:eastAsia="Times New Roman" w:cs="Arial"/>
          <w:szCs w:val="24"/>
          <w:lang w:eastAsia="fr-FR"/>
        </w:rPr>
        <w:t xml:space="preserve">En droit interne, la prévention par la police administrative n’est permise que sous réserve d'être strictement proportionnée à l'objectif préventif poursuivi, ce qui implique que trois conditions soient réunies : c’est le très connu </w:t>
      </w:r>
      <w:r w:rsidRPr="00C11F8D">
        <w:rPr>
          <w:rFonts w:eastAsia="Times New Roman" w:cs="Arial"/>
          <w:iCs/>
          <w:szCs w:val="24"/>
          <w:lang w:eastAsia="fr-FR"/>
        </w:rPr>
        <w:t>«</w:t>
      </w:r>
      <w:r w:rsidRPr="00163937">
        <w:rPr>
          <w:rFonts w:eastAsia="Times New Roman" w:cs="Arial"/>
          <w:i/>
          <w:iCs/>
          <w:szCs w:val="24"/>
          <w:lang w:eastAsia="fr-FR"/>
        </w:rPr>
        <w:t xml:space="preserve"> triple-test </w:t>
      </w:r>
      <w:r w:rsidRPr="00C11F8D">
        <w:rPr>
          <w:rFonts w:eastAsia="Times New Roman" w:cs="Arial"/>
          <w:iCs/>
          <w:szCs w:val="24"/>
          <w:lang w:eastAsia="fr-FR"/>
        </w:rPr>
        <w:t>» (CE, Ass., 26 octobre 2011, Association pour la promotion de l'image et autres, n° 317827)</w:t>
      </w:r>
      <w:r w:rsidRPr="000B75CF">
        <w:rPr>
          <w:rFonts w:eastAsia="Times New Roman" w:cs="Arial"/>
          <w:szCs w:val="24"/>
          <w:lang w:eastAsia="fr-FR"/>
        </w:rPr>
        <w:t xml:space="preserve"> et inspiré de la décision fondatrice « Benjamin ».</w:t>
      </w:r>
    </w:p>
    <w:p w14:paraId="278B8D40" w14:textId="1B2FCE2E" w:rsidR="00D92D04" w:rsidRPr="00163937" w:rsidRDefault="00D92D04" w:rsidP="00C11F8D">
      <w:pPr>
        <w:jc w:val="left"/>
        <w:rPr>
          <w:rFonts w:eastAsia="Times New Roman" w:cs="Arial"/>
          <w:i/>
          <w:iCs/>
          <w:szCs w:val="24"/>
          <w:lang w:eastAsia="fr-FR"/>
        </w:rPr>
      </w:pPr>
      <w:r w:rsidRPr="000B75CF">
        <w:rPr>
          <w:rFonts w:eastAsia="Times New Roman" w:cs="Arial"/>
          <w:szCs w:val="24"/>
          <w:lang w:eastAsia="fr-FR"/>
        </w:rPr>
        <w:t xml:space="preserve">Ainsi, selon M. Xavier Domino et le président Guyomar, pour qu’une mesure de police administrative générale soit regardée comme légale, il faut, une fois que la réalité de risques de troubles à l’ordre public est établie, qu’elle soit adaptée </w:t>
      </w:r>
      <w:r w:rsidRPr="00C11F8D">
        <w:rPr>
          <w:rFonts w:eastAsia="Times New Roman" w:cs="Arial"/>
          <w:iCs/>
          <w:szCs w:val="24"/>
          <w:lang w:eastAsia="fr-FR"/>
        </w:rPr>
        <w:t>(«</w:t>
      </w:r>
      <w:r w:rsidRPr="00163937">
        <w:rPr>
          <w:rFonts w:eastAsia="Times New Roman" w:cs="Arial"/>
          <w:i/>
          <w:iCs/>
          <w:szCs w:val="24"/>
          <w:lang w:eastAsia="fr-FR"/>
        </w:rPr>
        <w:t xml:space="preserve"> c’est-à-dire, pertinente par rapport au but recherché </w:t>
      </w:r>
      <w:r w:rsidRPr="00C11F8D">
        <w:rPr>
          <w:rFonts w:eastAsia="Times New Roman" w:cs="Arial"/>
          <w:iCs/>
          <w:szCs w:val="24"/>
          <w:lang w:eastAsia="fr-FR"/>
        </w:rPr>
        <w:t>»</w:t>
      </w:r>
      <w:r w:rsidRPr="00C11F8D">
        <w:rPr>
          <w:rFonts w:eastAsia="Times New Roman" w:cs="Arial"/>
          <w:szCs w:val="24"/>
          <w:lang w:eastAsia="fr-FR"/>
        </w:rPr>
        <w:t>,</w:t>
      </w:r>
      <w:r w:rsidRPr="000B75CF">
        <w:rPr>
          <w:rFonts w:eastAsia="Times New Roman" w:cs="Arial"/>
          <w:szCs w:val="24"/>
          <w:lang w:eastAsia="fr-FR"/>
        </w:rPr>
        <w:t xml:space="preserve"> selon les auteurs précités), nécessaire </w:t>
      </w:r>
      <w:r w:rsidRPr="00163937">
        <w:rPr>
          <w:rFonts w:eastAsia="Times New Roman" w:cs="Arial"/>
          <w:i/>
          <w:iCs/>
          <w:szCs w:val="24"/>
          <w:lang w:eastAsia="fr-FR"/>
        </w:rPr>
        <w:t xml:space="preserve">(« ce qui signifie qu’elle ne doit pas excéder ce qu’exige la réalisation du but poursuivi et que cet objectif ne pouvait être atteint par d’autres moyens moins attentatoires à la liberté </w:t>
      </w:r>
      <w:r w:rsidRPr="00C11F8D">
        <w:rPr>
          <w:rFonts w:eastAsia="Times New Roman" w:cs="Arial"/>
          <w:iCs/>
          <w:szCs w:val="24"/>
          <w:lang w:eastAsia="fr-FR"/>
        </w:rPr>
        <w:t>»</w:t>
      </w:r>
      <w:r w:rsidRPr="00C11F8D">
        <w:rPr>
          <w:rFonts w:eastAsia="Times New Roman" w:cs="Arial"/>
          <w:szCs w:val="24"/>
          <w:lang w:eastAsia="fr-FR"/>
        </w:rPr>
        <w:t>,</w:t>
      </w:r>
      <w:r w:rsidRPr="000B75CF">
        <w:rPr>
          <w:rFonts w:eastAsia="Times New Roman" w:cs="Arial"/>
          <w:szCs w:val="24"/>
          <w:lang w:eastAsia="fr-FR"/>
        </w:rPr>
        <w:t xml:space="preserve"> pour les mêmes auteurs) et proportionnée à la finalité qu’elle poursuit (soit donc, selon Messieurs Guyomar et Domino, que </w:t>
      </w:r>
      <w:r w:rsidRPr="00C11F8D">
        <w:rPr>
          <w:rFonts w:eastAsia="Times New Roman" w:cs="Arial"/>
          <w:iCs/>
          <w:szCs w:val="24"/>
          <w:lang w:eastAsia="fr-FR"/>
        </w:rPr>
        <w:t>«</w:t>
      </w:r>
      <w:r w:rsidRPr="00163937">
        <w:rPr>
          <w:rFonts w:eastAsia="Times New Roman" w:cs="Arial"/>
          <w:i/>
          <w:iCs/>
          <w:szCs w:val="24"/>
          <w:lang w:eastAsia="fr-FR"/>
        </w:rPr>
        <w:t xml:space="preserve"> (la mesure) ne doit pas, par les charges qu’elle crée, être hors de proportion avec le résultat recherché </w:t>
      </w:r>
      <w:r w:rsidRPr="00C11F8D">
        <w:rPr>
          <w:rFonts w:eastAsia="Times New Roman" w:cs="Arial"/>
          <w:iCs/>
          <w:szCs w:val="24"/>
          <w:lang w:eastAsia="fr-FR"/>
        </w:rPr>
        <w:t>»</w:t>
      </w:r>
      <w:r w:rsidR="00C11F8D">
        <w:rPr>
          <w:rFonts w:eastAsia="Times New Roman" w:cs="Arial"/>
          <w:iCs/>
          <w:szCs w:val="24"/>
          <w:lang w:eastAsia="fr-FR"/>
        </w:rPr>
        <w:t xml:space="preserve"> </w:t>
      </w:r>
      <w:r w:rsidRPr="00C11F8D">
        <w:rPr>
          <w:rFonts w:eastAsia="Times New Roman" w:cs="Arial"/>
          <w:iCs/>
          <w:szCs w:val="24"/>
          <w:lang w:eastAsia="fr-FR"/>
        </w:rPr>
        <w:t>(X. Domino et M. Guyomar, AJDA 2012, p. 35).</w:t>
      </w:r>
    </w:p>
    <w:p w14:paraId="2FB69DE1" w14:textId="77777777" w:rsidR="00D92D04" w:rsidRPr="00954D48" w:rsidRDefault="00D92D04" w:rsidP="00C11F8D">
      <w:pPr>
        <w:jc w:val="left"/>
        <w:rPr>
          <w:rFonts w:eastAsia="Times New Roman" w:cs="Arial"/>
          <w:i/>
          <w:iCs/>
          <w:szCs w:val="24"/>
          <w:lang w:eastAsia="fr-FR"/>
        </w:rPr>
      </w:pPr>
      <w:r w:rsidRPr="000B75CF">
        <w:rPr>
          <w:rFonts w:eastAsia="Times New Roman" w:cs="Arial"/>
          <w:szCs w:val="24"/>
          <w:lang w:eastAsia="fr-FR"/>
        </w:rPr>
        <w:t xml:space="preserve">Il faut ajouter à cela que deux nouveaux critères semblent avoir été dégagés par la jurisprudence administrative à la suite de la recrudescence des arrêtés de police pendant la période d’épidémie de Covid, à l’occasion de laquelle il a été jugé à propos d’une mesure de police </w:t>
      </w:r>
      <w:r w:rsidRPr="00C11F8D">
        <w:rPr>
          <w:rFonts w:eastAsia="Times New Roman" w:cs="Arial"/>
          <w:iCs/>
          <w:szCs w:val="24"/>
          <w:lang w:eastAsia="fr-FR"/>
        </w:rPr>
        <w:t xml:space="preserve">« </w:t>
      </w:r>
      <w:r w:rsidRPr="00954D48">
        <w:rPr>
          <w:rFonts w:eastAsia="Times New Roman" w:cs="Arial"/>
          <w:i/>
          <w:iCs/>
          <w:szCs w:val="24"/>
          <w:lang w:eastAsia="fr-FR"/>
        </w:rPr>
        <w:t xml:space="preserve">sa simplicité et sa lisibilité, nécessaires à sa bonne connaissance et à sa correcte application par les personnes auxquelles elle s’adresse, sont un élément de son effectivité qui doivent, à ce titre, être prises en considération </w:t>
      </w:r>
      <w:r w:rsidRPr="00C11F8D">
        <w:rPr>
          <w:rFonts w:eastAsia="Times New Roman" w:cs="Arial"/>
          <w:iCs/>
          <w:szCs w:val="24"/>
          <w:lang w:eastAsia="fr-FR"/>
        </w:rPr>
        <w:t>» (CE, Ord., 6 septembre 2020, n° 443750 ; CE, Ord. 6 septembre 2020 ; CE, Ord., 4 mars 2021, n° 450151).</w:t>
      </w:r>
    </w:p>
    <w:p w14:paraId="0BD37B1C" w14:textId="77777777" w:rsidR="00D92D04" w:rsidRPr="000B75CF" w:rsidRDefault="00D92D04" w:rsidP="00C11F8D">
      <w:pPr>
        <w:jc w:val="left"/>
        <w:rPr>
          <w:rFonts w:eastAsia="Times New Roman" w:cs="Arial"/>
          <w:szCs w:val="24"/>
          <w:lang w:eastAsia="fr-FR"/>
        </w:rPr>
      </w:pPr>
      <w:r w:rsidRPr="000B75CF">
        <w:rPr>
          <w:rFonts w:eastAsia="Times New Roman" w:cs="Arial"/>
          <w:szCs w:val="24"/>
          <w:lang w:eastAsia="fr-FR"/>
        </w:rPr>
        <w:t>Cette double exigence de lisibilité et de simplicité rejoint en réalité deux autres principes : le principe de légalité des délits et des peines, d’une part, et le principe de proportionnalité d’autre part.</w:t>
      </w:r>
    </w:p>
    <w:p w14:paraId="4B26A7C1" w14:textId="77777777" w:rsidR="00D92D04" w:rsidRPr="000B75CF" w:rsidRDefault="00D92D04" w:rsidP="00C11F8D">
      <w:pPr>
        <w:jc w:val="left"/>
        <w:rPr>
          <w:rFonts w:eastAsia="Times New Roman" w:cs="Arial"/>
          <w:szCs w:val="24"/>
          <w:lang w:eastAsia="fr-FR"/>
        </w:rPr>
      </w:pPr>
      <w:r w:rsidRPr="000B75CF">
        <w:rPr>
          <w:rFonts w:eastAsia="Times New Roman" w:cs="Arial"/>
          <w:szCs w:val="24"/>
          <w:lang w:eastAsia="fr-FR"/>
        </w:rPr>
        <w:t>D’une part, le principe de légalité des délits et des peines, qui implique qu’un texte qui crée une interdiction dont la méconnaissance est susceptible d’être réprimée doit contenir une définition précise du comportement à réprimer, cela pour permettre aux personnes de déterminer le comportement qu’elles doivent adopter et les conditions dans lesquelles la mesure d’interdiction peut leur être opposée.</w:t>
      </w:r>
    </w:p>
    <w:p w14:paraId="50DB4B54" w14:textId="380BCA41" w:rsidR="00D92D04" w:rsidRPr="000B75CF" w:rsidRDefault="00D92D04" w:rsidP="00C11F8D">
      <w:pPr>
        <w:jc w:val="left"/>
        <w:rPr>
          <w:rFonts w:eastAsia="Times New Roman" w:cs="Arial"/>
          <w:szCs w:val="24"/>
          <w:lang w:eastAsia="fr-FR"/>
        </w:rPr>
      </w:pPr>
      <w:r w:rsidRPr="000B75CF">
        <w:rPr>
          <w:rFonts w:eastAsia="Times New Roman" w:cs="Arial"/>
          <w:szCs w:val="24"/>
          <w:lang w:eastAsia="fr-FR"/>
        </w:rPr>
        <w:lastRenderedPageBreak/>
        <w:t>C’est sur la base de ce raisonnement que de nombreux juge</w:t>
      </w:r>
      <w:r w:rsidR="003E054E">
        <w:rPr>
          <w:rFonts w:eastAsia="Times New Roman" w:cs="Arial"/>
          <w:szCs w:val="24"/>
          <w:lang w:eastAsia="fr-FR"/>
        </w:rPr>
        <w:t>s</w:t>
      </w:r>
      <w:r w:rsidRPr="000B75CF">
        <w:rPr>
          <w:rFonts w:eastAsia="Times New Roman" w:cs="Arial"/>
          <w:szCs w:val="24"/>
          <w:lang w:eastAsia="fr-FR"/>
        </w:rPr>
        <w:t xml:space="preserve"> des référés ont considéré qu’il pouvait exister un doute sérieux sur la légalité d’actes proscrivant de manière trop générale les « rassemblements ». </w:t>
      </w:r>
    </w:p>
    <w:p w14:paraId="07E5B68D" w14:textId="29C02238" w:rsidR="00D92D04" w:rsidRPr="00C11F8D" w:rsidRDefault="00D92D04" w:rsidP="00C11F8D">
      <w:pPr>
        <w:jc w:val="left"/>
        <w:rPr>
          <w:rFonts w:eastAsia="Times New Roman" w:cs="Arial"/>
          <w:szCs w:val="24"/>
          <w:lang w:eastAsia="fr-FR"/>
        </w:rPr>
      </w:pPr>
      <w:r w:rsidRPr="000B75CF">
        <w:rPr>
          <w:rFonts w:eastAsia="Times New Roman" w:cs="Arial"/>
          <w:szCs w:val="24"/>
          <w:lang w:eastAsia="fr-FR"/>
        </w:rPr>
        <w:t>Ainsi, par exemple</w:t>
      </w:r>
      <w:r>
        <w:rPr>
          <w:rFonts w:eastAsia="Times New Roman" w:cs="Arial"/>
          <w:szCs w:val="24"/>
          <w:lang w:eastAsia="fr-FR"/>
        </w:rPr>
        <w:t xml:space="preserve">, </w:t>
      </w:r>
      <w:r w:rsidR="00C11F8D">
        <w:rPr>
          <w:rFonts w:eastAsia="Times New Roman" w:cs="Arial"/>
          <w:szCs w:val="24"/>
          <w:lang w:eastAsia="fr-FR"/>
        </w:rPr>
        <w:t xml:space="preserve">le </w:t>
      </w:r>
      <w:r>
        <w:rPr>
          <w:rFonts w:eastAsia="Times New Roman" w:cs="Arial"/>
          <w:szCs w:val="24"/>
          <w:lang w:eastAsia="fr-FR"/>
        </w:rPr>
        <w:t>tribunal administratif de Paris a-t-il suspendu l’arrêté similaire du 31 mars 2023 du préfet de police car, en l’absence de démonstration de violences particulières susceptibles d’intervenir le 1</w:t>
      </w:r>
      <w:r w:rsidRPr="00954D48">
        <w:rPr>
          <w:rFonts w:eastAsia="Times New Roman" w:cs="Arial"/>
          <w:szCs w:val="24"/>
          <w:vertAlign w:val="superscript"/>
          <w:lang w:eastAsia="fr-FR"/>
        </w:rPr>
        <w:t>er</w:t>
      </w:r>
      <w:r>
        <w:rPr>
          <w:rFonts w:eastAsia="Times New Roman" w:cs="Arial"/>
          <w:szCs w:val="24"/>
          <w:lang w:eastAsia="fr-FR"/>
        </w:rPr>
        <w:t xml:space="preserve"> avril, </w:t>
      </w:r>
      <w:r w:rsidRPr="00C11F8D">
        <w:rPr>
          <w:rFonts w:eastAsia="Times New Roman" w:cs="Arial"/>
          <w:iCs/>
          <w:szCs w:val="24"/>
          <w:lang w:eastAsia="fr-FR"/>
        </w:rPr>
        <w:t>«</w:t>
      </w:r>
      <w:r>
        <w:rPr>
          <w:rFonts w:eastAsia="Times New Roman" w:cs="Arial"/>
          <w:i/>
          <w:iCs/>
          <w:szCs w:val="24"/>
          <w:lang w:eastAsia="fr-FR"/>
        </w:rPr>
        <w:t> l’interdiction générale édictée par l’article 1</w:t>
      </w:r>
      <w:r w:rsidRPr="00954D48">
        <w:rPr>
          <w:rFonts w:eastAsia="Times New Roman" w:cs="Arial"/>
          <w:i/>
          <w:iCs/>
          <w:szCs w:val="24"/>
          <w:vertAlign w:val="superscript"/>
          <w:lang w:eastAsia="fr-FR"/>
        </w:rPr>
        <w:t>er</w:t>
      </w:r>
      <w:r>
        <w:rPr>
          <w:rFonts w:eastAsia="Times New Roman" w:cs="Arial"/>
          <w:i/>
          <w:iCs/>
          <w:szCs w:val="24"/>
          <w:lang w:eastAsia="fr-FR"/>
        </w:rPr>
        <w:t xml:space="preserve"> de l’arrêté visant les cortèges, défilés et rassemblements, ne paraît ni nécessaire ni proportionnée à la préservation de l’ordre public </w:t>
      </w:r>
      <w:r w:rsidRPr="00C11F8D">
        <w:rPr>
          <w:rFonts w:eastAsia="Times New Roman" w:cs="Arial"/>
          <w:iCs/>
          <w:szCs w:val="24"/>
          <w:lang w:eastAsia="fr-FR"/>
        </w:rPr>
        <w:t>» (ordonnance du 1</w:t>
      </w:r>
      <w:r w:rsidRPr="00C11F8D">
        <w:rPr>
          <w:rFonts w:eastAsia="Times New Roman" w:cs="Arial"/>
          <w:iCs/>
          <w:szCs w:val="24"/>
          <w:vertAlign w:val="superscript"/>
          <w:lang w:eastAsia="fr-FR"/>
        </w:rPr>
        <w:t>er</w:t>
      </w:r>
      <w:r w:rsidRPr="00C11F8D">
        <w:rPr>
          <w:rFonts w:eastAsia="Times New Roman" w:cs="Arial"/>
          <w:iCs/>
          <w:szCs w:val="24"/>
          <w:lang w:eastAsia="fr-FR"/>
        </w:rPr>
        <w:t xml:space="preserve"> avril 2023 n°2307444, §5)</w:t>
      </w:r>
      <w:r w:rsidRPr="00C11F8D">
        <w:rPr>
          <w:rFonts w:eastAsia="Times New Roman" w:cs="Arial"/>
          <w:szCs w:val="24"/>
          <w:lang w:eastAsia="fr-FR"/>
        </w:rPr>
        <w:t>.</w:t>
      </w:r>
    </w:p>
    <w:p w14:paraId="1298FB51" w14:textId="77777777" w:rsidR="00D92D04" w:rsidRPr="000B75CF" w:rsidRDefault="00D92D04" w:rsidP="00C11F8D">
      <w:pPr>
        <w:jc w:val="left"/>
        <w:rPr>
          <w:rFonts w:cs="Arial"/>
          <w:szCs w:val="24"/>
        </w:rPr>
      </w:pPr>
      <w:r w:rsidRPr="000B75CF">
        <w:rPr>
          <w:rFonts w:cs="Arial"/>
          <w:szCs w:val="24"/>
        </w:rPr>
        <w:t>Au cas présent, l’arrêté auquel l’infraction entend s’adosser est trop général, notamment en ce qu’il interdit tout « rassemblement »</w:t>
      </w:r>
      <w:r>
        <w:rPr>
          <w:rFonts w:cs="Arial"/>
          <w:szCs w:val="24"/>
        </w:rPr>
        <w:t>, ce qui peut être le cas d’amis se retrouvant dans l’espace public, sans nécessairement participer à une manifestation</w:t>
      </w:r>
      <w:r w:rsidRPr="000B75CF">
        <w:rPr>
          <w:rFonts w:cs="Arial"/>
          <w:szCs w:val="24"/>
        </w:rPr>
        <w:t xml:space="preserve">. </w:t>
      </w:r>
    </w:p>
    <w:p w14:paraId="11EE1FD4" w14:textId="4D4C0EB3" w:rsidR="00D92D04" w:rsidRPr="000B75CF" w:rsidRDefault="00D92D04" w:rsidP="00C11F8D">
      <w:pPr>
        <w:jc w:val="left"/>
        <w:rPr>
          <w:rFonts w:cs="Arial"/>
          <w:szCs w:val="24"/>
        </w:rPr>
      </w:pPr>
      <w:r w:rsidRPr="000B75CF">
        <w:rPr>
          <w:rFonts w:cs="Arial"/>
          <w:szCs w:val="24"/>
        </w:rPr>
        <w:t xml:space="preserve">Il </w:t>
      </w:r>
      <w:r w:rsidR="00A429B5">
        <w:rPr>
          <w:rFonts w:cs="Arial"/>
          <w:szCs w:val="24"/>
        </w:rPr>
        <w:t xml:space="preserve">vous </w:t>
      </w:r>
      <w:r w:rsidRPr="000B75CF">
        <w:rPr>
          <w:rFonts w:cs="Arial"/>
          <w:szCs w:val="24"/>
        </w:rPr>
        <w:t>appartiendra de prendre acte de cet</w:t>
      </w:r>
      <w:r>
        <w:rPr>
          <w:rFonts w:cs="Arial"/>
          <w:szCs w:val="24"/>
        </w:rPr>
        <w:t>te</w:t>
      </w:r>
      <w:r w:rsidRPr="000B75CF">
        <w:rPr>
          <w:rFonts w:cs="Arial"/>
          <w:szCs w:val="24"/>
        </w:rPr>
        <w:t xml:space="preserve"> illégalité et de constater que la contravention est donc dénuée de base légale. </w:t>
      </w:r>
    </w:p>
    <w:p w14:paraId="7747D3D7" w14:textId="5ED672F0" w:rsidR="00D92D04" w:rsidRPr="00A429B5" w:rsidRDefault="00A429B5" w:rsidP="00C11F8D">
      <w:pPr>
        <w:jc w:val="left"/>
        <w:rPr>
          <w:rFonts w:cs="Arial"/>
          <w:b/>
          <w:bCs/>
          <w:szCs w:val="24"/>
        </w:rPr>
      </w:pPr>
      <w:r w:rsidRPr="00A429B5">
        <w:rPr>
          <w:rFonts w:cs="Arial"/>
          <w:b/>
          <w:bCs/>
          <w:szCs w:val="24"/>
        </w:rPr>
        <w:t>Par ces motifs :</w:t>
      </w:r>
    </w:p>
    <w:p w14:paraId="17433407" w14:textId="77777777" w:rsidR="00A429B5" w:rsidRDefault="00A429B5" w:rsidP="00C11F8D">
      <w:pPr>
        <w:jc w:val="left"/>
        <w:rPr>
          <w:rFonts w:cs="Arial"/>
          <w:szCs w:val="24"/>
        </w:rPr>
      </w:pPr>
      <w:r>
        <w:rPr>
          <w:rFonts w:cs="Arial"/>
          <w:szCs w:val="24"/>
        </w:rPr>
        <w:t>Je sollicite qu’il plaise au tribunal de bien vouloir :</w:t>
      </w:r>
    </w:p>
    <w:p w14:paraId="429E2BB1" w14:textId="1EABB479" w:rsidR="00A429B5" w:rsidRDefault="00C11F8D" w:rsidP="00C11F8D">
      <w:pPr>
        <w:pStyle w:val="Paragraphedeliste"/>
        <w:numPr>
          <w:ilvl w:val="0"/>
          <w:numId w:val="1"/>
        </w:numPr>
        <w:jc w:val="left"/>
        <w:rPr>
          <w:rFonts w:cs="Arial"/>
          <w:szCs w:val="24"/>
        </w:rPr>
      </w:pPr>
      <w:r>
        <w:rPr>
          <w:rFonts w:cs="Arial"/>
          <w:b/>
          <w:bCs/>
          <w:szCs w:val="24"/>
        </w:rPr>
        <w:t>d</w:t>
      </w:r>
      <w:r w:rsidR="00A429B5" w:rsidRPr="00A429B5">
        <w:rPr>
          <w:rFonts w:cs="Arial"/>
          <w:b/>
          <w:bCs/>
          <w:szCs w:val="24"/>
        </w:rPr>
        <w:t>éclarer</w:t>
      </w:r>
      <w:r w:rsidR="00A429B5">
        <w:rPr>
          <w:rFonts w:cs="Arial"/>
          <w:szCs w:val="24"/>
        </w:rPr>
        <w:t xml:space="preserve"> l’arrêté,</w:t>
      </w:r>
      <w:r w:rsidR="00A429B5" w:rsidRPr="00A429B5">
        <w:rPr>
          <w:rFonts w:cs="Arial"/>
          <w:szCs w:val="24"/>
        </w:rPr>
        <w:t xml:space="preserve"> fondement de ma verbalisation, illégal</w:t>
      </w:r>
      <w:r w:rsidR="00A429B5">
        <w:rPr>
          <w:rFonts w:cs="Arial"/>
          <w:szCs w:val="24"/>
        </w:rPr>
        <w:t> ;</w:t>
      </w:r>
    </w:p>
    <w:p w14:paraId="62EFEEB3" w14:textId="435DB752" w:rsidR="00A429B5" w:rsidRDefault="00C11F8D" w:rsidP="00C11F8D">
      <w:pPr>
        <w:pStyle w:val="Paragraphedeliste"/>
        <w:numPr>
          <w:ilvl w:val="0"/>
          <w:numId w:val="1"/>
        </w:numPr>
        <w:jc w:val="left"/>
        <w:rPr>
          <w:rFonts w:cs="Arial"/>
          <w:szCs w:val="24"/>
        </w:rPr>
      </w:pPr>
      <w:r>
        <w:rPr>
          <w:rFonts w:cs="Arial"/>
          <w:b/>
          <w:bCs/>
          <w:szCs w:val="24"/>
        </w:rPr>
        <w:t>p</w:t>
      </w:r>
      <w:r w:rsidR="00A429B5" w:rsidRPr="00A429B5">
        <w:rPr>
          <w:rFonts w:cs="Arial"/>
          <w:b/>
          <w:bCs/>
          <w:szCs w:val="24"/>
        </w:rPr>
        <w:t>rononcer</w:t>
      </w:r>
      <w:r w:rsidR="00A429B5">
        <w:rPr>
          <w:rFonts w:cs="Arial"/>
          <w:szCs w:val="24"/>
        </w:rPr>
        <w:t xml:space="preserve"> ma rel</w:t>
      </w:r>
      <w:r>
        <w:rPr>
          <w:rFonts w:cs="Arial"/>
          <w:szCs w:val="24"/>
        </w:rPr>
        <w:t>axe.</w:t>
      </w:r>
    </w:p>
    <w:p w14:paraId="3C83523F" w14:textId="0670F3BE" w:rsidR="00A429B5" w:rsidRPr="00A429B5" w:rsidRDefault="00A429B5" w:rsidP="00C11F8D">
      <w:pPr>
        <w:jc w:val="left"/>
        <w:rPr>
          <w:rFonts w:cs="Arial"/>
          <w:szCs w:val="24"/>
        </w:rPr>
      </w:pPr>
      <w:r>
        <w:rPr>
          <w:rFonts w:cs="Arial"/>
          <w:szCs w:val="24"/>
        </w:rPr>
        <w:t>Avec toutes conséquences de droit.</w:t>
      </w:r>
    </w:p>
    <w:p w14:paraId="31D7DA83" w14:textId="033AB124" w:rsidR="005D6246" w:rsidRDefault="00A429B5" w:rsidP="00B07035">
      <w:pPr>
        <w:jc w:val="center"/>
      </w:pPr>
      <w:r w:rsidRPr="00B07035">
        <w:rPr>
          <w:highlight w:val="yellow"/>
        </w:rPr>
        <w:t>Signature</w:t>
      </w:r>
    </w:p>
    <w:sectPr w:rsidR="005D6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36BE7"/>
    <w:multiLevelType w:val="hybridMultilevel"/>
    <w:tmpl w:val="33908156"/>
    <w:lvl w:ilvl="0" w:tplc="6A607992">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5677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04"/>
    <w:rsid w:val="003A592E"/>
    <w:rsid w:val="003E054E"/>
    <w:rsid w:val="00404092"/>
    <w:rsid w:val="004C343E"/>
    <w:rsid w:val="004D7FBD"/>
    <w:rsid w:val="00585542"/>
    <w:rsid w:val="005E250C"/>
    <w:rsid w:val="00A30C2E"/>
    <w:rsid w:val="00A429B5"/>
    <w:rsid w:val="00B07035"/>
    <w:rsid w:val="00B857C1"/>
    <w:rsid w:val="00BD0315"/>
    <w:rsid w:val="00C11F8D"/>
    <w:rsid w:val="00D92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84F3"/>
  <w15:chartTrackingRefBased/>
  <w15:docId w15:val="{BE8F14A1-7B4C-4E28-9D7C-50910C08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fr-FR"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D04"/>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2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1036</Words>
  <Characters>5704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TEHIO</dc:creator>
  <cp:keywords/>
  <dc:description/>
  <cp:lastModifiedBy>Nathalie TEHIO</cp:lastModifiedBy>
  <cp:revision>3</cp:revision>
  <dcterms:created xsi:type="dcterms:W3CDTF">2023-04-28T00:51:00Z</dcterms:created>
  <dcterms:modified xsi:type="dcterms:W3CDTF">2023-04-28T01:58:00Z</dcterms:modified>
</cp:coreProperties>
</file>